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附件2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汝州市2021年公开招聘农村小学教师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7"/>
          <w:szCs w:val="27"/>
        </w:rPr>
        <w:t>岗位、专业一览表</w:t>
      </w:r>
    </w:p>
    <w:tbl>
      <w:tblPr>
        <w:tblW w:w="8249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08"/>
        <w:gridCol w:w="962"/>
        <w:gridCol w:w="1097"/>
        <w:gridCol w:w="2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拟招聘岗位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代码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拟招聘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人数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_GoBack" w:colFirst="0" w:colLast="0"/>
            <w:r>
              <w:t>面向社会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小学语文教师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汉语言文学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小学数学教师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小学英语教师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小学体育教师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小学音乐教师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小学美术教师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面向政府购岗教师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教育相关专业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24904"/>
    <w:rsid w:val="79F2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2021-06-21T02:22:00Z</dcterms:created>
  <dc:creator>Yan</dc:creator>
  <cp:lastModifiedBy>Yan</cp:lastModifiedBy>
  <dcterms:modified xsi:type="dcterms:W3CDTF">2021-06-21T02:22:53Z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CBBE43FD88D94A318F70BF8A15CE71B4</vt:lpwstr>
  </property>
</Properties>
</file>